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816552" w:rsidRPr="00816552" w:rsidRDefault="00010834" w:rsidP="0081655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2FD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BF2FD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BF2FD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634" w:type="dxa"/>
        <w:tblInd w:w="0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816552" w:rsidRPr="00E03962" w:rsidTr="004655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62">
              <w:rPr>
                <w:rFonts w:ascii="Times New Roman" w:hAnsi="Times New Roman"/>
                <w:sz w:val="24"/>
                <w:szCs w:val="24"/>
              </w:rPr>
              <w:t xml:space="preserve">Послуги із розробки бази тестових завдань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анонімного </w:t>
            </w:r>
            <w:r w:rsidRPr="00E03962">
              <w:rPr>
                <w:rFonts w:ascii="Times New Roman" w:hAnsi="Times New Roman"/>
                <w:sz w:val="24"/>
                <w:szCs w:val="24"/>
              </w:rPr>
              <w:t>тестування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щодо</w:t>
            </w:r>
            <w:r w:rsidRPr="00E03962">
              <w:rPr>
                <w:rFonts w:ascii="Times New Roman" w:hAnsi="Times New Roman"/>
                <w:sz w:val="24"/>
                <w:szCs w:val="24"/>
              </w:rPr>
              <w:t xml:space="preserve"> когнітивних здібностей під час кваліфікаційного іспиту,</w:t>
            </w:r>
            <w:r w:rsidRPr="00E03962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039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E03962">
              <w:rPr>
                <w:rFonts w:ascii="Times New Roman" w:hAnsi="Times New Roman"/>
                <w:sz w:val="24"/>
                <w:szCs w:val="24"/>
              </w:rPr>
              <w:t>98110000-7 «Послуги підприємницьких, професійних та спеціалізованих організацій»</w:t>
            </w:r>
          </w:p>
        </w:tc>
      </w:tr>
      <w:tr w:rsidR="00816552" w:rsidRPr="00E03962" w:rsidTr="004655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52" w:rsidRPr="00E03962" w:rsidRDefault="00816552" w:rsidP="004655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6552" w:rsidRPr="00E03962" w:rsidRDefault="00816552" w:rsidP="00816552">
            <w:pPr>
              <w:tabs>
                <w:tab w:val="left" w:pos="1080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3F3B79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3F3B79">
              <w:rPr>
                <w:rFonts w:ascii="Times New Roman" w:hAnsi="Times New Roman"/>
                <w:sz w:val="26"/>
                <w:szCs w:val="26"/>
              </w:rPr>
              <w:t>-2026-0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F3B79">
              <w:rPr>
                <w:rFonts w:ascii="Times New Roman" w:hAnsi="Times New Roman"/>
                <w:sz w:val="26"/>
                <w:szCs w:val="26"/>
              </w:rPr>
              <w:t>-09-00</w:t>
            </w:r>
            <w:r>
              <w:rPr>
                <w:rFonts w:ascii="Times New Roman" w:hAnsi="Times New Roman"/>
                <w:sz w:val="26"/>
                <w:szCs w:val="26"/>
              </w:rPr>
              <w:t>9298</w:t>
            </w:r>
            <w:r w:rsidRPr="003F3B79">
              <w:rPr>
                <w:rFonts w:ascii="Times New Roman" w:hAnsi="Times New Roman"/>
                <w:sz w:val="26"/>
                <w:szCs w:val="26"/>
              </w:rPr>
              <w:t>-</w:t>
            </w:r>
            <w:r w:rsidRPr="003F3B79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816552" w:rsidRPr="00E03962" w:rsidTr="0046557F">
        <w:trPr>
          <w:trHeight w:val="14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Default="00816552" w:rsidP="0046557F">
            <w:pPr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62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з урахуванням вимог Закону України «Про судоустрій і статус суддів» та зазначених у тендерній документації </w:t>
            </w:r>
            <w:r w:rsidRPr="00E1166A">
              <w:rPr>
                <w:rFonts w:ascii="Times New Roman" w:hAnsi="Times New Roman"/>
                <w:sz w:val="24"/>
                <w:szCs w:val="24"/>
              </w:rPr>
              <w:t xml:space="preserve">вимог щодо надання послуг із розробки бази тестових завдань для анонімного тестування щодо когнітивних здібностей </w:t>
            </w:r>
            <w:r w:rsidRPr="00E03962">
              <w:rPr>
                <w:rFonts w:ascii="Times New Roman" w:hAnsi="Times New Roman"/>
                <w:sz w:val="24"/>
                <w:szCs w:val="24"/>
              </w:rPr>
              <w:t>під час кваліфікаційного іспиту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6552" w:rsidRPr="005F0AED" w:rsidRDefault="00816552" w:rsidP="0046557F">
            <w:pPr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t xml:space="preserve">Структура бази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(240 тестових завдань)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передбачає рівний розподіл завдань за двома ключовими аспектами:</w:t>
            </w:r>
          </w:p>
          <w:p w:rsidR="00816552" w:rsidRPr="005F0AED" w:rsidRDefault="00816552" w:rsidP="00816552">
            <w:pPr>
              <w:pStyle w:val="a6"/>
              <w:numPr>
                <w:ilvl w:val="0"/>
                <w:numId w:val="2"/>
              </w:numPr>
              <w:suppressAutoHyphens/>
              <w:ind w:left="0" w:firstLine="48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цінювання логічного мислення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(логічне та абстрактне мислення)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% від загальної кількості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16552" w:rsidRPr="005F0AED" w:rsidRDefault="00816552" w:rsidP="00816552">
            <w:pPr>
              <w:pStyle w:val="a6"/>
              <w:numPr>
                <w:ilvl w:val="0"/>
                <w:numId w:val="2"/>
              </w:numPr>
              <w:suppressAutoHyphens/>
              <w:ind w:left="0" w:firstLine="486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цінювання вербального мислення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% від загальної кількості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</w:t>
            </w:r>
            <w:r w:rsidRPr="005F0A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16552" w:rsidRDefault="00816552" w:rsidP="0046557F">
            <w:pPr>
              <w:ind w:firstLine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t>Завдання мають бути розроблені з урахуванням трьох рівнів складності: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простого, середнього та високого.</w:t>
            </w:r>
          </w:p>
          <w:p w:rsidR="00816552" w:rsidRPr="00111999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999">
              <w:rPr>
                <w:rFonts w:ascii="Times New Roman" w:hAnsi="Times New Roman"/>
                <w:sz w:val="24"/>
                <w:szCs w:val="24"/>
              </w:rPr>
              <w:t>Вербальне мислення: простий рівень – 25%, середній рівень – 17,5%,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999">
              <w:rPr>
                <w:rFonts w:ascii="Times New Roman" w:hAnsi="Times New Roman"/>
                <w:sz w:val="24"/>
                <w:szCs w:val="24"/>
              </w:rPr>
              <w:t>високий рівень – 7,5%.</w:t>
            </w:r>
          </w:p>
          <w:p w:rsidR="00816552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999">
              <w:rPr>
                <w:rFonts w:ascii="Times New Roman" w:hAnsi="Times New Roman"/>
                <w:sz w:val="24"/>
                <w:szCs w:val="24"/>
              </w:rPr>
              <w:t>Логічне мислення: простий рівень – 7,5%, середній рівень – 7,5%,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999">
              <w:rPr>
                <w:rFonts w:ascii="Times New Roman" w:hAnsi="Times New Roman"/>
                <w:sz w:val="24"/>
                <w:szCs w:val="24"/>
              </w:rPr>
              <w:t>високий рівень – 5%.</w:t>
            </w:r>
          </w:p>
          <w:p w:rsidR="00816552" w:rsidRPr="005F0AED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999">
              <w:rPr>
                <w:rFonts w:ascii="Times New Roman" w:hAnsi="Times New Roman"/>
                <w:sz w:val="24"/>
                <w:szCs w:val="24"/>
              </w:rPr>
              <w:t>Абстрактне мислення: простий рівень – 15%, середній рівень – 10%,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999">
              <w:rPr>
                <w:rFonts w:ascii="Times New Roman" w:hAnsi="Times New Roman"/>
                <w:sz w:val="24"/>
                <w:szCs w:val="24"/>
              </w:rPr>
              <w:t>високий рівень – 5%.</w:t>
            </w:r>
          </w:p>
          <w:p w:rsidR="00816552" w:rsidRPr="005F0AED" w:rsidRDefault="00816552" w:rsidP="0046557F">
            <w:pPr>
              <w:ind w:firstLine="4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t xml:space="preserve">Ключовою якісною характеристикою тестових завдань </w:t>
            </w:r>
            <w:r>
              <w:rPr>
                <w:rFonts w:ascii="Times New Roman" w:hAnsi="Times New Roman"/>
                <w:sz w:val="24"/>
                <w:szCs w:val="24"/>
              </w:rPr>
              <w:t>є перевірка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у кандидатів здатн</w:t>
            </w:r>
            <w:r>
              <w:rPr>
                <w:rFonts w:ascii="Times New Roman" w:hAnsi="Times New Roman"/>
                <w:sz w:val="24"/>
                <w:szCs w:val="24"/>
              </w:rPr>
              <w:t>ості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та навич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обробляти інформацію про події та факти на основі виокремлення глибинного взаємозв’язку між різними і ззовні незалежними ситуаціями.</w:t>
            </w:r>
          </w:p>
          <w:p w:rsidR="00816552" w:rsidRDefault="00816552" w:rsidP="0046557F">
            <w:pPr>
              <w:shd w:val="clear" w:color="auto" w:fill="FFFFFF"/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t>Обов’язковим етапом контролю якості 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пілотне тестування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розробленої бази завдань перед передачею замовнику.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Тестові завдання розробляються державною мовою у текстовій, графічній або комбінованій формах.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Кожне завдання має чітку структуру: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снова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текст запитання або графічне зображення</w:t>
            </w:r>
            <w:r>
              <w:rPr>
                <w:rFonts w:ascii="Times New Roman" w:hAnsi="Times New Roman"/>
                <w:sz w:val="24"/>
                <w:szCs w:val="24"/>
              </w:rPr>
              <w:t>), в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аріанти відповідей: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552" w:rsidRDefault="00816552" w:rsidP="0046557F">
            <w:pPr>
              <w:shd w:val="clear" w:color="auto" w:fill="FFFFFF"/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t>4 варіанти, з яких один 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ключем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(правильна відповідь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та три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5F0AED">
              <w:rPr>
                <w:rFonts w:ascii="Times New Roman" w:hAnsi="Times New Roman"/>
                <w:sz w:val="24"/>
                <w:szCs w:val="24"/>
              </w:rPr>
              <w:t>дистракторами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>(неправильні варіанти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816552" w:rsidRDefault="00816552" w:rsidP="0046557F">
            <w:pPr>
              <w:shd w:val="clear" w:color="auto" w:fill="FFFFFF"/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6552" w:rsidRPr="00E1166A" w:rsidRDefault="00816552" w:rsidP="0046557F">
            <w:pPr>
              <w:shd w:val="clear" w:color="auto" w:fill="FFFFFF"/>
              <w:ind w:firstLine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ED">
              <w:rPr>
                <w:rFonts w:ascii="Times New Roman" w:hAnsi="Times New Roman"/>
                <w:sz w:val="24"/>
                <w:szCs w:val="24"/>
              </w:rPr>
              <w:lastRenderedPageBreak/>
              <w:t>Визначені характеристики обумовлені потреб</w:t>
            </w:r>
            <w:r>
              <w:rPr>
                <w:rFonts w:ascii="Times New Roman" w:hAnsi="Times New Roman"/>
                <w:sz w:val="24"/>
                <w:szCs w:val="24"/>
              </w:rPr>
              <w:t>ою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високого рівня об’єктивності та валідності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інструментів оцінювання. Розподіл завдань за аспектами та рівнями складності дозволяє забезпечити комплексне оцінювання інтелектуального потенціалу кандидатів. Формат та вимоги до структури завдань </w:t>
            </w:r>
            <w:r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технічними можливостям програмного забезпечення Комісії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анонімного</w:t>
            </w:r>
            <w:r w:rsidRPr="005F0AED">
              <w:rPr>
                <w:rFonts w:ascii="Times New Roman" w:hAnsi="Times New Roman"/>
                <w:sz w:val="24"/>
                <w:szCs w:val="24"/>
              </w:rPr>
              <w:t xml:space="preserve"> тестування.</w:t>
            </w:r>
          </w:p>
        </w:tc>
      </w:tr>
      <w:tr w:rsidR="00816552" w:rsidRPr="00E03962" w:rsidTr="004655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Обґрунтування розміру бюджетного призначення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F6B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r w:rsidRPr="00AF6B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 </w:t>
            </w:r>
            <w:r w:rsidRPr="003C79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Pr="003C79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576,67 (з ПДВ</w:t>
            </w:r>
            <w:r w:rsidRPr="00AF6B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)</w:t>
            </w:r>
            <w:r w:rsidRPr="00AF6B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BBE">
              <w:rPr>
                <w:rFonts w:ascii="Times New Roman" w:hAnsi="Times New Roman"/>
                <w:sz w:val="24"/>
                <w:szCs w:val="24"/>
                <w:lang w:eastAsia="uk-UA"/>
              </w:rPr>
              <w:t>грн., КЕКВ 2240.</w:t>
            </w:r>
          </w:p>
        </w:tc>
      </w:tr>
      <w:tr w:rsidR="00816552" w:rsidRPr="00E03962" w:rsidTr="004655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E03962" w:rsidRDefault="00816552" w:rsidP="0046557F">
            <w:pPr>
              <w:spacing w:line="276" w:lineRule="auto"/>
              <w:rPr>
                <w:sz w:val="24"/>
                <w:szCs w:val="24"/>
                <w:lang w:eastAsia="uk-UA"/>
              </w:rPr>
            </w:pPr>
            <w:r w:rsidRPr="00E03962"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52" w:rsidRPr="00AF6BBE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F6B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Очікувана вартість предмета закупівлі визначена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згідно з</w:t>
            </w:r>
            <w:r w:rsidRPr="00AF6B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F6B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</w:t>
            </w:r>
          </w:p>
          <w:p w:rsidR="00816552" w:rsidRPr="00AF6BBE" w:rsidRDefault="00816552" w:rsidP="0046557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AF6BBE">
              <w:rPr>
                <w:rFonts w:ascii="Times New Roman" w:hAnsi="Times New Roman"/>
                <w:sz w:val="24"/>
                <w:szCs w:val="24"/>
                <w:lang w:eastAsia="uk-UA"/>
              </w:rPr>
              <w:t>Орієнтовну очікувану вартість предмету закупівлі в</w:t>
            </w:r>
            <w:r w:rsidRPr="00AF6BB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изначено як середньоарифметичне значення відповідно до </w:t>
            </w:r>
            <w:r w:rsidRPr="00AF6B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>наданих комерційних пропозицій з урахуванням ПДВ:</w:t>
            </w:r>
          </w:p>
          <w:p w:rsidR="00816552" w:rsidRPr="00E03962" w:rsidRDefault="00816552" w:rsidP="0046557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AF6BBE">
              <w:rPr>
                <w:shd w:val="clear" w:color="auto" w:fill="FFFFFF"/>
                <w:lang w:eastAsia="uk-UA"/>
              </w:rPr>
              <w:t>(</w:t>
            </w:r>
            <w:r w:rsidRPr="00AF6B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810000+880000+642730)/3= 777 576,67 грн</w:t>
            </w:r>
          </w:p>
        </w:tc>
      </w:tr>
    </w:tbl>
    <w:p w:rsidR="00816552" w:rsidRDefault="00816552" w:rsidP="00816552"/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816552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767C3"/>
    <w:multiLevelType w:val="hybridMultilevel"/>
    <w:tmpl w:val="1F6030E4"/>
    <w:lvl w:ilvl="0" w:tplc="FCCE12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370AA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83351"/>
    <w:rsid w:val="00720C27"/>
    <w:rsid w:val="00816552"/>
    <w:rsid w:val="00845427"/>
    <w:rsid w:val="0086668D"/>
    <w:rsid w:val="009D0DA5"/>
    <w:rsid w:val="00A03CC9"/>
    <w:rsid w:val="00BE386D"/>
    <w:rsid w:val="00BF2FD1"/>
    <w:rsid w:val="00C3027A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character" w:customStyle="1" w:styleId="a7">
    <w:name w:val="Абзац списку Знак"/>
    <w:link w:val="a6"/>
    <w:uiPriority w:val="34"/>
    <w:rsid w:val="0081655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32</cp:revision>
  <cp:lastPrinted>2024-11-22T11:38:00Z</cp:lastPrinted>
  <dcterms:created xsi:type="dcterms:W3CDTF">2024-05-28T11:29:00Z</dcterms:created>
  <dcterms:modified xsi:type="dcterms:W3CDTF">2026-04-09T12:32:00Z</dcterms:modified>
</cp:coreProperties>
</file>