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A2B" w:rsidRPr="00E71A2B" w:rsidRDefault="00E71A2B" w:rsidP="00E71A2B">
      <w:pPr>
        <w:spacing w:after="0" w:line="240" w:lineRule="auto"/>
        <w:jc w:val="both"/>
        <w:rPr>
          <w:rFonts w:ascii="Times New Roman" w:eastAsia="Times New Roman" w:hAnsi="Times New Roman"/>
          <w:sz w:val="26"/>
          <w:szCs w:val="26"/>
          <w:lang w:eastAsia="ru-RU"/>
        </w:rPr>
      </w:pPr>
      <w:bookmarkStart w:id="0" w:name="_GoBack"/>
      <w:bookmarkEnd w:id="0"/>
    </w:p>
    <w:p w:rsidR="00C52590" w:rsidRPr="00044D74" w:rsidRDefault="00C52590" w:rsidP="00C52590">
      <w:pPr>
        <w:spacing w:after="0" w:line="240" w:lineRule="auto"/>
        <w:jc w:val="both"/>
        <w:rPr>
          <w:rFonts w:ascii="Times New Roman" w:eastAsia="Times New Roman" w:hAnsi="Times New Roman"/>
          <w:sz w:val="24"/>
          <w:szCs w:val="24"/>
          <w:lang w:eastAsia="ru-RU"/>
        </w:rPr>
      </w:pPr>
      <w:r w:rsidRPr="00044D74">
        <w:rPr>
          <w:rFonts w:ascii="Times New Roman" w:hAnsi="Times New Roman"/>
          <w:sz w:val="24"/>
          <w:szCs w:val="24"/>
          <w:lang w:eastAsia="uk-UA"/>
        </w:rPr>
        <w:t xml:space="preserve">Інформація щодо процедури закупівлі, передбачена вимогами постанови КМУ </w:t>
      </w:r>
      <w:r w:rsidRPr="00044D74">
        <w:rPr>
          <w:rFonts w:ascii="Times New Roman" w:eastAsia="Times New Roman" w:hAnsi="Times New Roman"/>
          <w:bCs/>
          <w:sz w:val="24"/>
          <w:szCs w:val="24"/>
          <w:lang w:eastAsia="uk-UA"/>
        </w:rPr>
        <w:t>від 11 жовтня 2016 р. № 710</w:t>
      </w:r>
      <w:r w:rsidRPr="00044D74">
        <w:rPr>
          <w:rFonts w:ascii="Times New Roman" w:eastAsia="Times New Roman" w:hAnsi="Times New Roman"/>
          <w:sz w:val="24"/>
          <w:szCs w:val="24"/>
          <w:lang w:eastAsia="uk-UA"/>
        </w:rPr>
        <w:t xml:space="preserve"> </w:t>
      </w:r>
      <w:r w:rsidRPr="00044D74">
        <w:rPr>
          <w:rFonts w:ascii="Times New Roman" w:eastAsia="Times New Roman" w:hAnsi="Times New Roman"/>
          <w:bCs/>
          <w:sz w:val="24"/>
          <w:szCs w:val="24"/>
          <w:lang w:eastAsia="uk-UA"/>
        </w:rPr>
        <w:t>«Про ефективне використання державних коштів» (зі змінами, внесеними постановою КМУ від 16 грудня 2020 р. №1266).</w:t>
      </w:r>
    </w:p>
    <w:p w:rsidR="00C52590" w:rsidRPr="00044D74" w:rsidRDefault="00C52590" w:rsidP="00C52590">
      <w:pPr>
        <w:spacing w:after="0"/>
        <w:rPr>
          <w:rFonts w:ascii="Times New Roman" w:hAnsi="Times New Roman"/>
          <w:sz w:val="24"/>
          <w:szCs w:val="24"/>
          <w:lang w:eastAsia="uk-UA"/>
        </w:rPr>
      </w:pPr>
    </w:p>
    <w:tbl>
      <w:tblPr>
        <w:tblStyle w:val="1"/>
        <w:tblW w:w="10065" w:type="dxa"/>
        <w:tblInd w:w="-318" w:type="dxa"/>
        <w:tblLook w:val="04A0" w:firstRow="1" w:lastRow="0" w:firstColumn="1" w:lastColumn="0" w:noHBand="0" w:noVBand="1"/>
      </w:tblPr>
      <w:tblGrid>
        <w:gridCol w:w="3085"/>
        <w:gridCol w:w="6980"/>
      </w:tblGrid>
      <w:tr w:rsidR="00C52590" w:rsidRPr="00044D74" w:rsidTr="000C5429">
        <w:tc>
          <w:tcPr>
            <w:tcW w:w="3085" w:type="dxa"/>
          </w:tcPr>
          <w:p w:rsidR="00C52590" w:rsidRPr="00044D74" w:rsidRDefault="00C52590" w:rsidP="000C5429">
            <w:pPr>
              <w:ind w:left="-142" w:firstLine="142"/>
              <w:rPr>
                <w:rFonts w:ascii="Times New Roman" w:hAnsi="Times New Roman"/>
                <w:sz w:val="24"/>
                <w:szCs w:val="24"/>
                <w:lang w:eastAsia="uk-UA"/>
              </w:rPr>
            </w:pPr>
            <w:r w:rsidRPr="00044D74">
              <w:rPr>
                <w:rFonts w:ascii="Times New Roman" w:hAnsi="Times New Roman"/>
                <w:sz w:val="24"/>
                <w:szCs w:val="24"/>
                <w:lang w:eastAsia="uk-UA"/>
              </w:rPr>
              <w:t>Назва предмета закупівлі</w:t>
            </w:r>
          </w:p>
        </w:tc>
        <w:tc>
          <w:tcPr>
            <w:tcW w:w="6980" w:type="dxa"/>
          </w:tcPr>
          <w:p w:rsidR="00C52590" w:rsidRPr="00044D74" w:rsidRDefault="00C52590" w:rsidP="000C5429">
            <w:pPr>
              <w:widowControl w:val="0"/>
              <w:jc w:val="both"/>
              <w:rPr>
                <w:rFonts w:ascii="Times New Roman" w:eastAsia="Times New Roman" w:hAnsi="Times New Roman"/>
                <w:bCs/>
                <w:color w:val="000000"/>
                <w:kern w:val="3"/>
                <w:sz w:val="24"/>
                <w:szCs w:val="24"/>
                <w:lang w:eastAsia="zh-CN" w:bidi="hi-IN"/>
              </w:rPr>
            </w:pPr>
            <w:r w:rsidRPr="00044D74">
              <w:rPr>
                <w:rFonts w:ascii="Times New Roman" w:eastAsia="Times New Roman" w:hAnsi="Times New Roman"/>
                <w:bCs/>
                <w:color w:val="000000"/>
                <w:kern w:val="3"/>
                <w:sz w:val="24"/>
                <w:szCs w:val="24"/>
                <w:lang w:eastAsia="zh-CN" w:bidi="hi-IN"/>
              </w:rPr>
              <w:t xml:space="preserve">Закупівля ноутбуків </w:t>
            </w:r>
          </w:p>
          <w:p w:rsidR="00C52590" w:rsidRPr="00044D74" w:rsidRDefault="00C52590" w:rsidP="000C5429">
            <w:pPr>
              <w:widowControl w:val="0"/>
              <w:jc w:val="both"/>
              <w:rPr>
                <w:rFonts w:ascii="Times New Roman" w:eastAsia="Times New Roman" w:hAnsi="Times New Roman"/>
                <w:sz w:val="24"/>
                <w:szCs w:val="24"/>
                <w:lang w:eastAsia="ru-RU"/>
              </w:rPr>
            </w:pPr>
            <w:r w:rsidRPr="00044D74">
              <w:rPr>
                <w:rFonts w:ascii="Times New Roman" w:eastAsia="Times New Roman" w:hAnsi="Times New Roman"/>
                <w:bCs/>
                <w:color w:val="000000"/>
                <w:kern w:val="3"/>
                <w:sz w:val="24"/>
                <w:szCs w:val="24"/>
                <w:lang w:eastAsia="zh-CN" w:bidi="hi-IN"/>
              </w:rPr>
              <w:t xml:space="preserve">ДК 021:2015 «Єдиний закупівельний словник» – </w:t>
            </w:r>
            <w:r w:rsidRPr="00044D74">
              <w:rPr>
                <w:rFonts w:ascii="Times New Roman" w:hAnsi="Times New Roman"/>
                <w:sz w:val="24"/>
                <w:szCs w:val="24"/>
              </w:rPr>
              <w:t>30210000-4 Машини для обробки даних (апаратна частина)</w:t>
            </w:r>
          </w:p>
        </w:tc>
      </w:tr>
      <w:tr w:rsidR="00C52590" w:rsidRPr="00044D74" w:rsidTr="000C5429">
        <w:tc>
          <w:tcPr>
            <w:tcW w:w="3085" w:type="dxa"/>
          </w:tcPr>
          <w:p w:rsidR="00C52590" w:rsidRPr="00044D74" w:rsidRDefault="00C52590" w:rsidP="000C5429">
            <w:pPr>
              <w:rPr>
                <w:rFonts w:ascii="Times New Roman" w:hAnsi="Times New Roman"/>
                <w:sz w:val="24"/>
                <w:szCs w:val="24"/>
                <w:lang w:eastAsia="uk-UA"/>
              </w:rPr>
            </w:pPr>
            <w:r w:rsidRPr="00044D74">
              <w:rPr>
                <w:rFonts w:ascii="Times New Roman" w:hAnsi="Times New Roman"/>
                <w:sz w:val="24"/>
                <w:szCs w:val="24"/>
                <w:lang w:eastAsia="uk-UA"/>
              </w:rPr>
              <w:t xml:space="preserve">Номер оголошення процедури закупівлі в електронній системі </w:t>
            </w:r>
            <w:proofErr w:type="spellStart"/>
            <w:r w:rsidRPr="00044D74">
              <w:rPr>
                <w:rFonts w:ascii="Times New Roman" w:hAnsi="Times New Roman"/>
                <w:sz w:val="24"/>
                <w:szCs w:val="24"/>
                <w:lang w:eastAsia="uk-UA"/>
              </w:rPr>
              <w:t>закупівель</w:t>
            </w:r>
            <w:proofErr w:type="spellEnd"/>
          </w:p>
        </w:tc>
        <w:tc>
          <w:tcPr>
            <w:tcW w:w="6980" w:type="dxa"/>
          </w:tcPr>
          <w:p w:rsidR="00C52590" w:rsidRPr="00C52590" w:rsidRDefault="00C52590" w:rsidP="000C5429">
            <w:pPr>
              <w:rPr>
                <w:rFonts w:ascii="Times New Roman" w:hAnsi="Times New Roman"/>
                <w:sz w:val="24"/>
                <w:szCs w:val="24"/>
                <w:lang w:val="ru-RU" w:eastAsia="uk-UA"/>
              </w:rPr>
            </w:pPr>
            <w:r w:rsidRPr="00C52590">
              <w:rPr>
                <w:rFonts w:ascii="Times New Roman" w:hAnsi="Times New Roman"/>
                <w:sz w:val="24"/>
                <w:szCs w:val="24"/>
                <w:lang w:val="ru-RU" w:eastAsia="uk-UA"/>
              </w:rPr>
              <w:t xml:space="preserve"> </w:t>
            </w:r>
          </w:p>
          <w:p w:rsidR="00C52590" w:rsidRPr="00C52590" w:rsidRDefault="00C52590" w:rsidP="000C5429">
            <w:pPr>
              <w:rPr>
                <w:rFonts w:ascii="Times New Roman" w:hAnsi="Times New Roman"/>
                <w:sz w:val="24"/>
                <w:szCs w:val="24"/>
                <w:lang w:val="ru-RU" w:eastAsia="uk-UA"/>
              </w:rPr>
            </w:pPr>
          </w:p>
          <w:p w:rsidR="00C52590" w:rsidRPr="00432E16" w:rsidRDefault="00C52590" w:rsidP="000C5429">
            <w:pPr>
              <w:rPr>
                <w:rFonts w:ascii="Times New Roman" w:hAnsi="Times New Roman"/>
                <w:sz w:val="28"/>
                <w:szCs w:val="28"/>
                <w:lang w:val="en-US" w:eastAsia="uk-UA"/>
              </w:rPr>
            </w:pPr>
            <w:r w:rsidRPr="00C52590">
              <w:rPr>
                <w:rFonts w:ascii="Times New Roman" w:hAnsi="Times New Roman"/>
                <w:sz w:val="28"/>
                <w:szCs w:val="28"/>
                <w:lang w:val="ru-RU" w:eastAsia="uk-UA"/>
              </w:rPr>
              <w:t xml:space="preserve">                         </w:t>
            </w:r>
            <w:r w:rsidRPr="00432E16">
              <w:rPr>
                <w:rFonts w:ascii="Times New Roman" w:hAnsi="Times New Roman"/>
                <w:sz w:val="28"/>
                <w:szCs w:val="28"/>
                <w:lang w:val="en-US" w:eastAsia="uk-UA"/>
              </w:rPr>
              <w:t>UA-2025-08-14-009087-a</w:t>
            </w:r>
          </w:p>
        </w:tc>
      </w:tr>
      <w:tr w:rsidR="00C52590" w:rsidRPr="00044D74" w:rsidTr="000C5429">
        <w:tc>
          <w:tcPr>
            <w:tcW w:w="3085" w:type="dxa"/>
          </w:tcPr>
          <w:p w:rsidR="00C52590" w:rsidRPr="00044D74" w:rsidRDefault="00C52590" w:rsidP="000C5429">
            <w:pPr>
              <w:rPr>
                <w:rFonts w:ascii="Times New Roman" w:hAnsi="Times New Roman"/>
                <w:sz w:val="24"/>
                <w:szCs w:val="24"/>
                <w:lang w:eastAsia="uk-UA"/>
              </w:rPr>
            </w:pPr>
            <w:r w:rsidRPr="00044D74">
              <w:rPr>
                <w:rFonts w:ascii="Times New Roman" w:hAnsi="Times New Roman"/>
                <w:sz w:val="24"/>
                <w:szCs w:val="24"/>
                <w:lang w:eastAsia="uk-UA"/>
              </w:rPr>
              <w:t>Обґрунтування технічних та якісних характеристик предмета закупівлі</w:t>
            </w:r>
          </w:p>
        </w:tc>
        <w:tc>
          <w:tcPr>
            <w:tcW w:w="6980" w:type="dxa"/>
          </w:tcPr>
          <w:p w:rsidR="00C52590" w:rsidRPr="00432E16" w:rsidRDefault="00C52590" w:rsidP="000C5429">
            <w:pPr>
              <w:jc w:val="both"/>
              <w:rPr>
                <w:rFonts w:ascii="Times New Roman" w:eastAsiaTheme="minorHAnsi" w:hAnsi="Times New Roman"/>
                <w:sz w:val="24"/>
                <w:szCs w:val="24"/>
              </w:rPr>
            </w:pPr>
            <w:r w:rsidRPr="00044D74">
              <w:rPr>
                <w:rFonts w:ascii="Times New Roman" w:hAnsi="Times New Roman"/>
                <w:sz w:val="24"/>
                <w:szCs w:val="24"/>
              </w:rPr>
              <w:t>Технічні та якісні характеристики предмета закупівлі визначені відповідно до потреб замовника з урахуванням вимог чинного законодавства та зазначені у тендерній документації.</w:t>
            </w:r>
            <w:r>
              <w:rPr>
                <w:rFonts w:ascii="Times New Roman" w:hAnsi="Times New Roman"/>
                <w:sz w:val="24"/>
                <w:szCs w:val="24"/>
              </w:rPr>
              <w:t xml:space="preserve"> </w:t>
            </w:r>
            <w:r w:rsidRPr="00044D74">
              <w:rPr>
                <w:rFonts w:ascii="Times New Roman" w:hAnsi="Times New Roman"/>
                <w:sz w:val="24"/>
                <w:szCs w:val="24"/>
              </w:rPr>
              <w:t>Закупівля проводиться для забезпечення Комісії сучасною комп’ютерною технікою для належного облаштування робочих місць для суддів та кандидатів на посаду судді які беруть участь у конкурсних процедурах, які проводить Комісія.</w:t>
            </w:r>
            <w:r>
              <w:rPr>
                <w:rFonts w:ascii="Times New Roman" w:hAnsi="Times New Roman"/>
                <w:sz w:val="24"/>
                <w:szCs w:val="24"/>
              </w:rPr>
              <w:t xml:space="preserve"> </w:t>
            </w:r>
            <w:r w:rsidRPr="00044D74">
              <w:rPr>
                <w:rFonts w:ascii="Times New Roman" w:hAnsi="Times New Roman"/>
                <w:sz w:val="24"/>
                <w:szCs w:val="24"/>
              </w:rPr>
              <w:t>Метою закупівлі ноутбуків є забезпечення Комісії сучасною комп’ютерною технікою для належного облаштування робочих місць для суддів та кандидатів на посаду судді які беруть участь конкурсних процедурах, які проводить Комісія. Дана закупівля ноутбуків призведе до підвищення рівня відповідності сучасному рівню комп’ютерної техніки, безперебійної роботи та продуктивності.</w:t>
            </w:r>
            <w:r>
              <w:rPr>
                <w:rFonts w:ascii="Times New Roman" w:hAnsi="Times New Roman"/>
                <w:sz w:val="24"/>
                <w:szCs w:val="24"/>
              </w:rPr>
              <w:t xml:space="preserve"> </w:t>
            </w:r>
            <w:r w:rsidRPr="00044D74">
              <w:rPr>
                <w:rFonts w:ascii="Times New Roman" w:hAnsi="Times New Roman"/>
                <w:sz w:val="24"/>
                <w:szCs w:val="24"/>
              </w:rPr>
              <w:t>Оскільки для проведення заходів з конкурсних процедур у Вищій кваліфікаційній комісії суддів України за підтримки Агентства США з міжнародного розвитку (USAID) у 2012 році було передано 45 ноутбуків, також у 2015 році отримано 103 ноутбука, загалом отримано 148 ноутбуків.</w:t>
            </w:r>
            <w:r>
              <w:rPr>
                <w:rFonts w:ascii="Times New Roman" w:hAnsi="Times New Roman"/>
                <w:sz w:val="24"/>
                <w:szCs w:val="24"/>
              </w:rPr>
              <w:t xml:space="preserve"> </w:t>
            </w:r>
            <w:r w:rsidRPr="00044D74">
              <w:rPr>
                <w:rFonts w:ascii="Times New Roman" w:hAnsi="Times New Roman"/>
                <w:sz w:val="24"/>
                <w:szCs w:val="24"/>
              </w:rPr>
              <w:t>Пунктом 2 Додатку 1 «Типові строки корисного використання основних засобів суб'єктів державного сектору» до Методичних рекомендацій щодо облікової політики суб'єкта державного сектору, затверджених наказом Міністерства фінансів України від 23.01.2011 № 11 для обчислювальної техніки встановлено строк корисного використання 10 років. Зважаючи на тривалий термін використання ноутбуків та постійний розвиток інформаційних технологій є потреба в оновленні технічно застарілого парку комп’ютерної техніки.</w:t>
            </w:r>
            <w:r>
              <w:rPr>
                <w:rFonts w:ascii="Times New Roman" w:hAnsi="Times New Roman"/>
                <w:sz w:val="24"/>
                <w:szCs w:val="24"/>
              </w:rPr>
              <w:t xml:space="preserve"> </w:t>
            </w:r>
            <w:r w:rsidRPr="00044D74">
              <w:rPr>
                <w:rFonts w:ascii="Times New Roman" w:eastAsia="Times New Roman" w:hAnsi="Times New Roman"/>
                <w:color w:val="000000"/>
                <w:sz w:val="24"/>
                <w:szCs w:val="24"/>
                <w:lang w:eastAsia="ru-RU"/>
              </w:rPr>
              <w:t xml:space="preserve">Кількість товару: 142 </w:t>
            </w:r>
            <w:proofErr w:type="spellStart"/>
            <w:r w:rsidRPr="00044D74">
              <w:rPr>
                <w:rFonts w:ascii="Times New Roman" w:eastAsia="Times New Roman" w:hAnsi="Times New Roman"/>
                <w:color w:val="000000"/>
                <w:sz w:val="24"/>
                <w:szCs w:val="24"/>
                <w:lang w:eastAsia="ru-RU"/>
              </w:rPr>
              <w:t>шт</w:t>
            </w:r>
            <w:proofErr w:type="spellEnd"/>
            <w:r w:rsidRPr="00044D74">
              <w:rPr>
                <w:rFonts w:ascii="Times New Roman" w:eastAsia="Times New Roman" w:hAnsi="Times New Roman"/>
                <w:color w:val="000000"/>
                <w:sz w:val="24"/>
                <w:szCs w:val="24"/>
                <w:lang w:eastAsia="ru-RU"/>
              </w:rPr>
              <w:t xml:space="preserve"> (відповідно додатку 3 тендерної документації: перший тип 18 </w:t>
            </w:r>
            <w:proofErr w:type="spellStart"/>
            <w:r w:rsidRPr="00044D74">
              <w:rPr>
                <w:rFonts w:ascii="Times New Roman" w:eastAsia="Times New Roman" w:hAnsi="Times New Roman"/>
                <w:color w:val="000000"/>
                <w:sz w:val="24"/>
                <w:szCs w:val="24"/>
                <w:lang w:eastAsia="ru-RU"/>
              </w:rPr>
              <w:t>шт</w:t>
            </w:r>
            <w:proofErr w:type="spellEnd"/>
            <w:r>
              <w:rPr>
                <w:rFonts w:ascii="Times New Roman" w:eastAsia="Times New Roman" w:hAnsi="Times New Roman"/>
                <w:color w:val="000000"/>
                <w:sz w:val="24"/>
                <w:szCs w:val="24"/>
                <w:lang w:eastAsia="ru-RU"/>
              </w:rPr>
              <w:t xml:space="preserve">; </w:t>
            </w:r>
            <w:r w:rsidRPr="00044D74">
              <w:rPr>
                <w:rFonts w:ascii="Times New Roman" w:eastAsia="Times New Roman" w:hAnsi="Times New Roman"/>
                <w:color w:val="000000"/>
                <w:sz w:val="24"/>
                <w:szCs w:val="24"/>
                <w:lang w:eastAsia="ru-RU"/>
              </w:rPr>
              <w:t xml:space="preserve">другий тип 124 </w:t>
            </w:r>
            <w:proofErr w:type="spellStart"/>
            <w:r w:rsidRPr="00044D74">
              <w:rPr>
                <w:rFonts w:ascii="Times New Roman" w:eastAsia="Times New Roman" w:hAnsi="Times New Roman"/>
                <w:color w:val="000000"/>
                <w:sz w:val="24"/>
                <w:szCs w:val="24"/>
                <w:lang w:eastAsia="ru-RU"/>
              </w:rPr>
              <w:t>шт</w:t>
            </w:r>
            <w:proofErr w:type="spellEnd"/>
            <w:r w:rsidRPr="00044D74">
              <w:rPr>
                <w:rFonts w:ascii="Times New Roman" w:eastAsia="Times New Roman" w:hAnsi="Times New Roman"/>
                <w:color w:val="000000"/>
                <w:sz w:val="24"/>
                <w:szCs w:val="24"/>
                <w:lang w:eastAsia="ru-RU"/>
              </w:rPr>
              <w:t>)</w:t>
            </w:r>
          </w:p>
        </w:tc>
      </w:tr>
      <w:tr w:rsidR="00C52590" w:rsidRPr="00044D74" w:rsidTr="000C5429">
        <w:tc>
          <w:tcPr>
            <w:tcW w:w="3085" w:type="dxa"/>
          </w:tcPr>
          <w:p w:rsidR="00C52590" w:rsidRPr="00044D74" w:rsidRDefault="00C52590" w:rsidP="000C5429">
            <w:pPr>
              <w:rPr>
                <w:sz w:val="24"/>
                <w:szCs w:val="24"/>
                <w:lang w:eastAsia="uk-UA"/>
              </w:rPr>
            </w:pPr>
            <w:r w:rsidRPr="00044D74">
              <w:rPr>
                <w:rFonts w:ascii="Times New Roman" w:hAnsi="Times New Roman"/>
                <w:sz w:val="24"/>
                <w:szCs w:val="24"/>
                <w:lang w:eastAsia="uk-UA"/>
              </w:rPr>
              <w:t>Обґрунтування розміру бюджетного призначення</w:t>
            </w:r>
          </w:p>
        </w:tc>
        <w:tc>
          <w:tcPr>
            <w:tcW w:w="6980" w:type="dxa"/>
          </w:tcPr>
          <w:p w:rsidR="00C52590" w:rsidRPr="00044D74" w:rsidRDefault="00C52590" w:rsidP="000C5429">
            <w:pPr>
              <w:jc w:val="both"/>
              <w:rPr>
                <w:rFonts w:ascii="Times New Roman" w:hAnsi="Times New Roman"/>
                <w:sz w:val="24"/>
                <w:szCs w:val="24"/>
              </w:rPr>
            </w:pPr>
            <w:r w:rsidRPr="00044D74">
              <w:rPr>
                <w:rFonts w:ascii="Times New Roman" w:hAnsi="Times New Roman"/>
                <w:sz w:val="24"/>
                <w:szCs w:val="24"/>
              </w:rPr>
              <w:t xml:space="preserve">Розмір бюджетного призначення 3 834 000,00 грн. </w:t>
            </w:r>
          </w:p>
          <w:p w:rsidR="00C52590" w:rsidRPr="00044D74" w:rsidRDefault="00C52590" w:rsidP="000C5429">
            <w:pPr>
              <w:jc w:val="both"/>
              <w:rPr>
                <w:rFonts w:ascii="Times New Roman" w:hAnsi="Times New Roman"/>
                <w:sz w:val="24"/>
                <w:szCs w:val="24"/>
              </w:rPr>
            </w:pPr>
            <w:r w:rsidRPr="00044D74">
              <w:rPr>
                <w:rFonts w:ascii="Times New Roman" w:hAnsi="Times New Roman"/>
                <w:sz w:val="24"/>
                <w:szCs w:val="24"/>
              </w:rPr>
              <w:t>Розмір бюджетного призначення визначено на підставі розрахунків, які обґрунтовують показники видатків бюджету, включених до кошторису на 2025 рік.</w:t>
            </w:r>
          </w:p>
        </w:tc>
      </w:tr>
      <w:tr w:rsidR="00C52590" w:rsidRPr="00044D74" w:rsidTr="000C5429">
        <w:tc>
          <w:tcPr>
            <w:tcW w:w="3085" w:type="dxa"/>
          </w:tcPr>
          <w:p w:rsidR="00C52590" w:rsidRPr="00044D74" w:rsidRDefault="00C52590" w:rsidP="000C5429">
            <w:pPr>
              <w:rPr>
                <w:sz w:val="24"/>
                <w:szCs w:val="24"/>
                <w:lang w:eastAsia="uk-UA"/>
              </w:rPr>
            </w:pPr>
            <w:r w:rsidRPr="00044D74">
              <w:rPr>
                <w:rFonts w:ascii="Times New Roman" w:hAnsi="Times New Roman"/>
                <w:sz w:val="24"/>
                <w:szCs w:val="24"/>
                <w:lang w:eastAsia="uk-UA"/>
              </w:rPr>
              <w:t>Обґрунтування  очікуваної вартості предмета закупівлі</w:t>
            </w:r>
          </w:p>
        </w:tc>
        <w:tc>
          <w:tcPr>
            <w:tcW w:w="6980" w:type="dxa"/>
          </w:tcPr>
          <w:p w:rsidR="00C52590" w:rsidRPr="00044D74" w:rsidRDefault="00C52590" w:rsidP="000C5429">
            <w:pPr>
              <w:ind w:right="33"/>
              <w:rPr>
                <w:rFonts w:ascii="Times New Roman" w:hAnsi="Times New Roman"/>
                <w:sz w:val="24"/>
                <w:szCs w:val="24"/>
                <w:shd w:val="clear" w:color="auto" w:fill="FFFFFF"/>
              </w:rPr>
            </w:pPr>
            <w:r w:rsidRPr="00044D74">
              <w:rPr>
                <w:rFonts w:ascii="Times New Roman" w:hAnsi="Times New Roman"/>
                <w:sz w:val="24"/>
                <w:szCs w:val="24"/>
                <w:shd w:val="clear" w:color="auto" w:fill="FFFFFF"/>
              </w:rPr>
              <w:t xml:space="preserve">Очікувана вартість предмета закупівлі </w:t>
            </w:r>
            <w:r w:rsidRPr="00044D74">
              <w:rPr>
                <w:rFonts w:ascii="Times New Roman" w:hAnsi="Times New Roman"/>
                <w:sz w:val="24"/>
                <w:szCs w:val="24"/>
              </w:rPr>
              <w:t xml:space="preserve">3 833 864,00 </w:t>
            </w:r>
            <w:r w:rsidRPr="00044D74">
              <w:rPr>
                <w:rFonts w:ascii="Times New Roman" w:hAnsi="Times New Roman"/>
                <w:sz w:val="24"/>
                <w:szCs w:val="24"/>
                <w:shd w:val="clear" w:color="auto" w:fill="FFFFFF"/>
              </w:rPr>
              <w:t>грн.</w:t>
            </w:r>
          </w:p>
          <w:p w:rsidR="00C52590" w:rsidRPr="00044D74" w:rsidRDefault="00C52590" w:rsidP="000C5429">
            <w:pPr>
              <w:ind w:right="33"/>
              <w:jc w:val="both"/>
              <w:rPr>
                <w:rFonts w:ascii="Times New Roman" w:hAnsi="Times New Roman"/>
                <w:sz w:val="24"/>
                <w:szCs w:val="24"/>
              </w:rPr>
            </w:pPr>
            <w:r w:rsidRPr="00044D74">
              <w:rPr>
                <w:rFonts w:ascii="Times New Roman" w:hAnsi="Times New Roman"/>
                <w:sz w:val="24"/>
                <w:szCs w:val="24"/>
              </w:rPr>
              <w:t>Очікувану вартість предмету закупівлі визначено відповідно до Примірної методики визначення очікуваної вартості предмета закупівлі на підставі методу порівняння ринкових цін.</w:t>
            </w:r>
          </w:p>
        </w:tc>
      </w:tr>
    </w:tbl>
    <w:p w:rsidR="00C52590" w:rsidRPr="00044D74" w:rsidRDefault="00C52590" w:rsidP="00C52590">
      <w:pPr>
        <w:spacing w:after="0" w:line="240" w:lineRule="auto"/>
        <w:ind w:right="-1"/>
        <w:jc w:val="both"/>
        <w:rPr>
          <w:rFonts w:ascii="Times New Roman" w:hAnsi="Times New Roman"/>
          <w:sz w:val="24"/>
          <w:szCs w:val="24"/>
        </w:rPr>
      </w:pPr>
    </w:p>
    <w:sectPr w:rsidR="00C52590" w:rsidRPr="00044D7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C7DDD"/>
    <w:multiLevelType w:val="hybridMultilevel"/>
    <w:tmpl w:val="3E3AB49A"/>
    <w:lvl w:ilvl="0" w:tplc="C4BAC8E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FB"/>
    <w:rsid w:val="00010834"/>
    <w:rsid w:val="00045C5F"/>
    <w:rsid w:val="000643FB"/>
    <w:rsid w:val="00071608"/>
    <w:rsid w:val="00136C0C"/>
    <w:rsid w:val="001F6E62"/>
    <w:rsid w:val="0021712E"/>
    <w:rsid w:val="00222AB9"/>
    <w:rsid w:val="00271899"/>
    <w:rsid w:val="002E5A0A"/>
    <w:rsid w:val="00354AE7"/>
    <w:rsid w:val="003F3171"/>
    <w:rsid w:val="00474BD9"/>
    <w:rsid w:val="0048707C"/>
    <w:rsid w:val="004C655B"/>
    <w:rsid w:val="005251BC"/>
    <w:rsid w:val="005E1F55"/>
    <w:rsid w:val="005E2E82"/>
    <w:rsid w:val="005F7719"/>
    <w:rsid w:val="00653D15"/>
    <w:rsid w:val="00691DF3"/>
    <w:rsid w:val="00720C27"/>
    <w:rsid w:val="008321D5"/>
    <w:rsid w:val="00845427"/>
    <w:rsid w:val="0086668D"/>
    <w:rsid w:val="0091215B"/>
    <w:rsid w:val="009D0DA5"/>
    <w:rsid w:val="009E0E64"/>
    <w:rsid w:val="00A03CC9"/>
    <w:rsid w:val="00BE386D"/>
    <w:rsid w:val="00BF2FD1"/>
    <w:rsid w:val="00C52590"/>
    <w:rsid w:val="00CE2F7B"/>
    <w:rsid w:val="00D951D8"/>
    <w:rsid w:val="00E37B5C"/>
    <w:rsid w:val="00E44F0C"/>
    <w:rsid w:val="00E71A2B"/>
    <w:rsid w:val="00F2632F"/>
    <w:rsid w:val="00F444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81C05D-B748-4F8B-8292-649687C5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8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5NotBold">
    <w:name w:val="Body text (5) + Not Bold"/>
    <w:rsid w:val="00BE386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uk-UA" w:eastAsia="uk-UA" w:bidi="uk-UA"/>
    </w:rPr>
  </w:style>
  <w:style w:type="table" w:customStyle="1" w:styleId="1">
    <w:name w:val="Сітка таблиці1"/>
    <w:basedOn w:val="a1"/>
    <w:uiPriority w:val="59"/>
    <w:rsid w:val="00BE386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3">
    <w:name w:val="Hyperlink"/>
    <w:basedOn w:val="a0"/>
    <w:uiPriority w:val="99"/>
    <w:semiHidden/>
    <w:unhideWhenUsed/>
    <w:rsid w:val="00136C0C"/>
    <w:rPr>
      <w:color w:val="0000FF"/>
      <w:u w:val="single"/>
    </w:rPr>
  </w:style>
  <w:style w:type="paragraph" w:styleId="a4">
    <w:name w:val="Balloon Text"/>
    <w:basedOn w:val="a"/>
    <w:link w:val="a5"/>
    <w:uiPriority w:val="99"/>
    <w:semiHidden/>
    <w:unhideWhenUsed/>
    <w:rsid w:val="0021712E"/>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1712E"/>
    <w:rPr>
      <w:rFonts w:ascii="Segoe UI" w:eastAsia="Calibri" w:hAnsi="Segoe UI" w:cs="Segoe UI"/>
      <w:sz w:val="18"/>
      <w:szCs w:val="18"/>
    </w:rPr>
  </w:style>
  <w:style w:type="paragraph" w:styleId="a6">
    <w:name w:val="List Paragraph"/>
    <w:basedOn w:val="a"/>
    <w:uiPriority w:val="34"/>
    <w:qFormat/>
    <w:rsid w:val="00845427"/>
    <w:pPr>
      <w:ind w:left="720"/>
      <w:contextualSpacing/>
    </w:pPr>
    <w:rPr>
      <w:rFonts w:asciiTheme="minorHAnsi" w:eastAsiaTheme="minorHAnsi" w:hAnsiTheme="minorHAnsi" w:cstheme="minorBidi"/>
      <w:lang w:val="ru-RU"/>
    </w:rPr>
  </w:style>
  <w:style w:type="paragraph" w:customStyle="1" w:styleId="2">
    <w:name w:val="Подпись к таблице (2)"/>
    <w:basedOn w:val="a"/>
    <w:rsid w:val="00BF2FD1"/>
    <w:pPr>
      <w:shd w:val="clear" w:color="auto" w:fill="FFFFFF"/>
      <w:suppressAutoHyphens/>
      <w:spacing w:after="0" w:line="240" w:lineRule="atLeast"/>
    </w:pPr>
    <w:rPr>
      <w:rFonts w:ascii="Times New Roman" w:eastAsia="Times New Roman" w:hAnsi="Times New Roman"/>
      <w:sz w:val="26"/>
      <w:szCs w:val="26"/>
      <w:lang w:val="ru-RU" w:eastAsia="ar-SA"/>
    </w:rPr>
  </w:style>
  <w:style w:type="table" w:styleId="a7">
    <w:name w:val="Table Grid"/>
    <w:basedOn w:val="a1"/>
    <w:uiPriority w:val="59"/>
    <w:rsid w:val="00E71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95551">
      <w:bodyDiv w:val="1"/>
      <w:marLeft w:val="0"/>
      <w:marRight w:val="0"/>
      <w:marTop w:val="0"/>
      <w:marBottom w:val="0"/>
      <w:divBdr>
        <w:top w:val="none" w:sz="0" w:space="0" w:color="auto"/>
        <w:left w:val="none" w:sz="0" w:space="0" w:color="auto"/>
        <w:bottom w:val="none" w:sz="0" w:space="0" w:color="auto"/>
        <w:right w:val="none" w:sz="0" w:space="0" w:color="auto"/>
      </w:divBdr>
    </w:div>
    <w:div w:id="800465413">
      <w:bodyDiv w:val="1"/>
      <w:marLeft w:val="0"/>
      <w:marRight w:val="0"/>
      <w:marTop w:val="0"/>
      <w:marBottom w:val="0"/>
      <w:divBdr>
        <w:top w:val="none" w:sz="0" w:space="0" w:color="auto"/>
        <w:left w:val="none" w:sz="0" w:space="0" w:color="auto"/>
        <w:bottom w:val="none" w:sz="0" w:space="0" w:color="auto"/>
        <w:right w:val="none" w:sz="0" w:space="0" w:color="auto"/>
      </w:divBdr>
    </w:div>
    <w:div w:id="184971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1745</Words>
  <Characters>995</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Кулеш Ольга  Олександрівна</dc:creator>
  <cp:keywords/>
  <dc:description/>
  <cp:lastModifiedBy>Кулеш Ольга  Олександрівна</cp:lastModifiedBy>
  <cp:revision>37</cp:revision>
  <cp:lastPrinted>2024-11-22T11:38:00Z</cp:lastPrinted>
  <dcterms:created xsi:type="dcterms:W3CDTF">2024-05-28T11:29:00Z</dcterms:created>
  <dcterms:modified xsi:type="dcterms:W3CDTF">2025-08-14T12:27:00Z</dcterms:modified>
</cp:coreProperties>
</file>